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0" w:name="X574c45a33bd7cb5deb3d3d578df71224800ecbb"/>
      <w:r>
        <w:t xml:space="preserve">Rent Repayment Order (RRO): Pre-Application Letter</w:t>
      </w:r>
      <w:bookmarkEnd w:id="20"/>
    </w:p>
    <w:p>
      <w:pPr>
        <w:pStyle w:val="Heading2"/>
      </w:pPr>
      <w:bookmarkStart w:id="21" w:name="when-to-use-this"/>
      <w:r>
        <w:t xml:space="preserve">When to use this</w:t>
      </w:r>
      <w:bookmarkEnd w:id="21"/>
    </w:p>
    <w:p>
      <w:pPr>
        <w:pStyle w:val="FirstParagraph"/>
      </w:pPr>
      <w:r>
        <w:t xml:space="preserve">Use this letter where your landlord has committed one of the offences that give rise to a</w:t>
      </w:r>
      <w:r>
        <w:t xml:space="preserve"> </w:t>
      </w:r>
      <w:r>
        <w:rPr>
          <w:b/>
        </w:rPr>
        <w:t xml:space="preserve">Rent Repayment Order</w:t>
      </w:r>
      <w:r>
        <w:t xml:space="preserve"> </w:t>
      </w:r>
      <w:r>
        <w:t xml:space="preserve">under the</w:t>
      </w:r>
      <w:r>
        <w:t xml:space="preserve"> </w:t>
      </w:r>
      <w:r>
        <w:rPr>
          <w:b/>
        </w:rPr>
        <w:t xml:space="preserve">Housing and Planning Act 2016, Part 2, Chapter 4</w:t>
      </w:r>
      <w:r>
        <w:t xml:space="preserve">, as strengthened by the</w:t>
      </w:r>
      <w:r>
        <w:t xml:space="preserve"> </w:t>
      </w:r>
      <w:r>
        <w:rPr>
          <w:b/>
        </w:rPr>
        <w:t xml:space="preserve">Renters' Rights Act 2025</w:t>
      </w:r>
      <w:r>
        <w:t xml:space="preserve">. A Rent Repayment Order is granted by the</w:t>
      </w:r>
      <w:r>
        <w:t xml:space="preserve"> </w:t>
      </w:r>
      <w:r>
        <w:rPr>
          <w:b/>
        </w:rPr>
        <w:t xml:space="preserve">First-tier Tribunal (Property Chamber)</w:t>
      </w:r>
      <w:r>
        <w:t xml:space="preserve"> </w:t>
      </w:r>
      <w:r>
        <w:t xml:space="preserve">and requires the landlord to repay up to</w:t>
      </w:r>
      <w:r>
        <w:t xml:space="preserve"> </w:t>
      </w:r>
      <w:r>
        <w:rPr>
          <w:b/>
        </w:rPr>
        <w:t xml:space="preserve">12 months of rent</w:t>
      </w:r>
      <w:r>
        <w:t xml:space="preserve"> </w:t>
      </w:r>
      <w:r>
        <w:t xml:space="preserve">(or up to</w:t>
      </w:r>
      <w:r>
        <w:t xml:space="preserve"> </w:t>
      </w:r>
      <w:r>
        <w:rPr>
          <w:b/>
        </w:rPr>
        <w:t xml:space="preserve">24 months</w:t>
      </w:r>
      <w:r>
        <w:t xml:space="preserve"> </w:t>
      </w:r>
      <w:r>
        <w:t xml:space="preserve">for certain serious offences under the 2025 widening).</w:t>
      </w:r>
    </w:p>
    <w:p>
      <w:pPr>
        <w:pStyle w:val="BodyText"/>
      </w:pPr>
      <w:r>
        <w:t xml:space="preserve">This letter is sent</w:t>
      </w:r>
      <w:r>
        <w:t xml:space="preserve"> </w:t>
      </w:r>
      <w:r>
        <w:rPr>
          <w:b/>
        </w:rPr>
        <w:t xml:space="preserve">before</w:t>
      </w:r>
      <w:r>
        <w:t xml:space="preserve"> </w:t>
      </w:r>
      <w:r>
        <w:t xml:space="preserve">applying to the Tribunal. It sets out the offence, quantifies the claim, and invites settlement. It is not legally required, but Tribunals prefer to see pre-action contact, and a clear pre-application letter can produce a settlement without a hearing.</w:t>
      </w:r>
    </w:p>
    <w:p>
      <w:pPr>
        <w:pStyle w:val="BodyText"/>
      </w:pPr>
      <w:r>
        <w:rPr>
          <w:b/>
        </w:rPr>
        <w:t xml:space="preserve">The offences that trigger RRO eligibility:</w:t>
      </w:r>
    </w:p>
    <w:p>
      <w:pPr>
        <w:numPr>
          <w:ilvl w:val="0"/>
          <w:numId w:val="1001"/>
        </w:numPr>
        <w:pStyle w:val="Compact"/>
      </w:pPr>
      <w:r>
        <w:t xml:space="preserve">Letting a property that required a</w:t>
      </w:r>
      <w:r>
        <w:t xml:space="preserve"> </w:t>
      </w:r>
      <w:r>
        <w:rPr>
          <w:b/>
        </w:rPr>
        <w:t xml:space="preserve">House in Multiple Occupation (HMO) licence</w:t>
      </w:r>
      <w:r>
        <w:t xml:space="preserve"> </w:t>
      </w:r>
      <w:r>
        <w:t xml:space="preserve">without one, contrary to</w:t>
      </w:r>
      <w:r>
        <w:t xml:space="preserve"> </w:t>
      </w:r>
      <w:r>
        <w:rPr>
          <w:b/>
        </w:rPr>
        <w:t xml:space="preserve">Housing Act 2004, section 72</w:t>
      </w:r>
      <w:r>
        <w:t xml:space="preserve">.</w:t>
      </w:r>
    </w:p>
    <w:p>
      <w:pPr>
        <w:numPr>
          <w:ilvl w:val="0"/>
          <w:numId w:val="1001"/>
        </w:numPr>
        <w:pStyle w:val="Compact"/>
      </w:pPr>
      <w:r>
        <w:t xml:space="preserve">Letting a property that required a</w:t>
      </w:r>
      <w:r>
        <w:t xml:space="preserve"> </w:t>
      </w:r>
      <w:r>
        <w:rPr>
          <w:b/>
        </w:rPr>
        <w:t xml:space="preserve">selective licence</w:t>
      </w:r>
      <w:r>
        <w:t xml:space="preserve"> </w:t>
      </w:r>
      <w:r>
        <w:t xml:space="preserve">in a designated area without one, contrary to</w:t>
      </w:r>
      <w:r>
        <w:t xml:space="preserve"> </w:t>
      </w:r>
      <w:r>
        <w:rPr>
          <w:b/>
        </w:rPr>
        <w:t xml:space="preserve">Housing Act 2004, section 95</w:t>
      </w:r>
      <w:r>
        <w:t xml:space="preserve">.</w:t>
      </w:r>
    </w:p>
    <w:p>
      <w:pPr>
        <w:numPr>
          <w:ilvl w:val="0"/>
          <w:numId w:val="1001"/>
        </w:numPr>
        <w:pStyle w:val="Compact"/>
      </w:pPr>
      <w:r>
        <w:rPr>
          <w:b/>
        </w:rPr>
        <w:t xml:space="preserve">Illegal eviction or harassment</w:t>
      </w:r>
      <w:r>
        <w:t xml:space="preserve"> </w:t>
      </w:r>
      <w:r>
        <w:t xml:space="preserve">contrary to the</w:t>
      </w:r>
      <w:r>
        <w:t xml:space="preserve"> </w:t>
      </w:r>
      <w:r>
        <w:rPr>
          <w:b/>
        </w:rPr>
        <w:t xml:space="preserve">Protection from Eviction Act 1977, sections 1 and 3A</w:t>
      </w:r>
      <w:r>
        <w:t xml:space="preserve">.</w:t>
      </w:r>
    </w:p>
    <w:p>
      <w:pPr>
        <w:numPr>
          <w:ilvl w:val="0"/>
          <w:numId w:val="1001"/>
        </w:numPr>
        <w:pStyle w:val="Compact"/>
      </w:pPr>
      <w:r>
        <w:rPr>
          <w:b/>
        </w:rPr>
        <w:t xml:space="preserve">Use of violence</w:t>
      </w:r>
      <w:r>
        <w:t xml:space="preserve"> </w:t>
      </w:r>
      <w:r>
        <w:t xml:space="preserve">to secure entry, contrary to</w:t>
      </w:r>
      <w:r>
        <w:t xml:space="preserve"> </w:t>
      </w:r>
      <w:r>
        <w:rPr>
          <w:b/>
        </w:rPr>
        <w:t xml:space="preserve">Criminal Law Act 1977, section 6</w:t>
      </w:r>
      <w:r>
        <w:t xml:space="preserve">.</w:t>
      </w:r>
    </w:p>
    <w:p>
      <w:pPr>
        <w:numPr>
          <w:ilvl w:val="0"/>
          <w:numId w:val="1001"/>
        </w:numPr>
        <w:pStyle w:val="Compact"/>
      </w:pPr>
      <w:r>
        <w:rPr>
          <w:b/>
        </w:rPr>
        <w:t xml:space="preserve">Breach of an improvement notice</w:t>
      </w:r>
      <w:r>
        <w:t xml:space="preserve"> </w:t>
      </w:r>
      <w:r>
        <w:t xml:space="preserve">or</w:t>
      </w:r>
      <w:r>
        <w:t xml:space="preserve"> </w:t>
      </w:r>
      <w:r>
        <w:rPr>
          <w:b/>
        </w:rPr>
        <w:t xml:space="preserve">prohibition order</w:t>
      </w:r>
      <w:r>
        <w:t xml:space="preserve"> </w:t>
      </w:r>
      <w:r>
        <w:t xml:space="preserve">under the</w:t>
      </w:r>
      <w:r>
        <w:t xml:space="preserve"> </w:t>
      </w:r>
      <w:r>
        <w:rPr>
          <w:b/>
        </w:rPr>
        <w:t xml:space="preserve">Housing Act 2004</w:t>
      </w:r>
      <w:r>
        <w:t xml:space="preserve">.</w:t>
      </w:r>
    </w:p>
    <w:p>
      <w:pPr>
        <w:numPr>
          <w:ilvl w:val="0"/>
          <w:numId w:val="1001"/>
        </w:numPr>
        <w:pStyle w:val="Compact"/>
      </w:pPr>
      <w:r>
        <w:rPr>
          <w:b/>
        </w:rPr>
        <w:t xml:space="preserve">Breach of a banning order</w:t>
      </w:r>
      <w:r>
        <w:t xml:space="preserve"> </w:t>
      </w:r>
      <w:r>
        <w:t xml:space="preserve">under</w:t>
      </w:r>
      <w:r>
        <w:t xml:space="preserve"> </w:t>
      </w:r>
      <w:r>
        <w:rPr>
          <w:b/>
        </w:rPr>
        <w:t xml:space="preserve">Housing and Planning Act 2016, section 21</w:t>
      </w:r>
      <w:r>
        <w:t xml:space="preserve">.</w:t>
      </w:r>
    </w:p>
    <w:p>
      <w:pPr>
        <w:numPr>
          <w:ilvl w:val="0"/>
          <w:numId w:val="1001"/>
        </w:numPr>
        <w:pStyle w:val="Compact"/>
      </w:pPr>
      <w:r>
        <w:t xml:space="preserve">[New under the Renters' Rights Act 2025] Additional offences created by the 2025 Act, including breaches of the new Decent Homes Standard for the private rented sector and breaches of certain landlord registration requirements.</w:t>
      </w:r>
    </w:p>
    <w:p>
      <w:pPr>
        <w:pStyle w:val="FirstParagraph"/>
      </w:pPr>
      <w:r>
        <w:rPr>
          <w:b/>
        </w:rPr>
        <w:t xml:space="preserve">What you can claim:</w:t>
      </w:r>
    </w:p>
    <w:p>
      <w:pPr>
        <w:numPr>
          <w:ilvl w:val="0"/>
          <w:numId w:val="1002"/>
        </w:numPr>
        <w:pStyle w:val="Compact"/>
      </w:pPr>
      <w:r>
        <w:rPr>
          <w:b/>
        </w:rPr>
        <w:t xml:space="preserve">Up to 12 months of rent</w:t>
      </w:r>
      <w:r>
        <w:t xml:space="preserve"> </w:t>
      </w:r>
      <w:r>
        <w:t xml:space="preserve">as a baseline (Housing and Planning Act 2016, section 44). In certain serious cases under the Renters' Rights Act 2025 widening,</w:t>
      </w:r>
      <w:r>
        <w:t xml:space="preserve"> </w:t>
      </w:r>
      <w:r>
        <w:rPr>
          <w:b/>
        </w:rPr>
        <w:t xml:space="preserve">up to 24 months</w:t>
      </w:r>
      <w:r>
        <w:t xml:space="preserve">.</w:t>
      </w:r>
    </w:p>
    <w:p>
      <w:pPr>
        <w:numPr>
          <w:ilvl w:val="0"/>
          <w:numId w:val="1002"/>
        </w:numPr>
        <w:pStyle w:val="Compact"/>
      </w:pPr>
      <w:r>
        <w:t xml:space="preserve">The Tribunal takes into account the conduct of both parties, any financial hardship caused to the tenant, and whether the landlord has a prior conviction or civil penalty.</w:t>
      </w:r>
    </w:p>
    <w:p>
      <w:pPr>
        <w:numPr>
          <w:ilvl w:val="0"/>
          <w:numId w:val="1002"/>
        </w:numPr>
        <w:pStyle w:val="Compact"/>
      </w:pPr>
      <w:r>
        <w:t xml:space="preserve">A</w:t>
      </w:r>
      <w:r>
        <w:t xml:space="preserve"> </w:t>
      </w:r>
      <w:r>
        <w:rPr>
          <w:b/>
        </w:rPr>
        <w:t xml:space="preserve">prior conviction or civil penalty</w:t>
      </w:r>
      <w:r>
        <w:t xml:space="preserve"> </w:t>
      </w:r>
      <w:r>
        <w:t xml:space="preserve">makes a full award far more likely. It is always worth asking the local housing authority whether any enforcement action is already on foot.</w:t>
      </w:r>
    </w:p>
    <w:p>
      <w:pPr>
        <w:pStyle w:val="FirstParagraph"/>
      </w:pPr>
      <w:r>
        <w:rPr>
          <w:b/>
        </w:rPr>
        <w:t xml:space="preserve">What to include as evidence:</w:t>
      </w:r>
    </w:p>
    <w:p>
      <w:pPr>
        <w:numPr>
          <w:ilvl w:val="0"/>
          <w:numId w:val="1003"/>
        </w:numPr>
        <w:pStyle w:val="Compact"/>
      </w:pPr>
      <w:r>
        <w:t xml:space="preserve">Your tenancy agreement.</w:t>
      </w:r>
    </w:p>
    <w:p>
      <w:pPr>
        <w:numPr>
          <w:ilvl w:val="0"/>
          <w:numId w:val="1003"/>
        </w:numPr>
        <w:pStyle w:val="Compact"/>
      </w:pPr>
      <w:r>
        <w:t xml:space="preserve">A complete record of</w:t>
      </w:r>
      <w:r>
        <w:t xml:space="preserve"> </w:t>
      </w:r>
      <w:r>
        <w:rPr>
          <w:b/>
        </w:rPr>
        <w:t xml:space="preserve">rent paid</w:t>
      </w:r>
      <w:r>
        <w:t xml:space="preserve">, by date, via bank statements, receipts, or standing-order records. You will need a monthly breakdown for the relevant 12-month period.</w:t>
      </w:r>
    </w:p>
    <w:p>
      <w:pPr>
        <w:numPr>
          <w:ilvl w:val="0"/>
          <w:numId w:val="1003"/>
        </w:numPr>
        <w:pStyle w:val="Compact"/>
      </w:pPr>
      <w:r>
        <w:t xml:space="preserve">Evidence of the</w:t>
      </w:r>
      <w:r>
        <w:t xml:space="preserve"> </w:t>
      </w:r>
      <w:r>
        <w:rPr>
          <w:b/>
        </w:rPr>
        <w:t xml:space="preserve">underlying offence</w:t>
      </w:r>
      <w:r>
        <w:t xml:space="preserve">: a council enforcement notice, an improvement notice, a prohibition order, photographs of disrepair, correspondence with the landlord, police log reference for any illegal eviction, or similar.</w:t>
      </w:r>
    </w:p>
    <w:p>
      <w:pPr>
        <w:numPr>
          <w:ilvl w:val="0"/>
          <w:numId w:val="1003"/>
        </w:numPr>
        <w:pStyle w:val="Compact"/>
      </w:pPr>
      <w:r>
        <w:t xml:space="preserve">A copy of any</w:t>
      </w:r>
      <w:r>
        <w:t xml:space="preserve"> </w:t>
      </w:r>
      <w:r>
        <w:rPr>
          <w:b/>
        </w:rPr>
        <w:t xml:space="preserve">conviction, caution, or civil penalty</w:t>
      </w:r>
      <w:r>
        <w:t xml:space="preserve"> </w:t>
      </w:r>
      <w:r>
        <w:t xml:space="preserve">already issued against the landlord. This is often publicly available via the local authority.</w:t>
      </w:r>
    </w:p>
    <w:p>
      <w:pPr>
        <w:numPr>
          <w:ilvl w:val="0"/>
          <w:numId w:val="1003"/>
        </w:numPr>
        <w:pStyle w:val="Compact"/>
      </w:pPr>
      <w:r>
        <w:t xml:space="preserve">Details of the</w:t>
      </w:r>
      <w:r>
        <w:t xml:space="preserve"> </w:t>
      </w:r>
      <w:r>
        <w:rPr>
          <w:b/>
        </w:rPr>
        <w:t xml:space="preserve">landlord</w:t>
      </w:r>
      <w:r>
        <w:t xml:space="preserve"> </w:t>
      </w:r>
      <w:r>
        <w:t xml:space="preserve">(name, address, company number if a company), and of any</w:t>
      </w:r>
      <w:r>
        <w:t xml:space="preserve"> </w:t>
      </w:r>
      <w:r>
        <w:rPr>
          <w:b/>
        </w:rPr>
        <w:t xml:space="preserve">superior landlord</w:t>
      </w:r>
      <w:r>
        <w:t xml:space="preserve"> </w:t>
      </w:r>
      <w:r>
        <w:t xml:space="preserve">(for example, where the immediate letting party is a rent-to-rent company).</w:t>
      </w:r>
    </w:p>
    <w:p>
      <w:pPr>
        <w:pStyle w:val="FirstParagraph"/>
      </w:pPr>
      <w:r>
        <w:rPr>
          <w:b/>
        </w:rPr>
        <w:t xml:space="preserve">Important:</w:t>
      </w:r>
      <w:r>
        <w:t xml:space="preserve"> </w:t>
      </w:r>
      <w:r>
        <w:t xml:space="preserve">A Rent Repayment Order applies to rent paid during a defined period. The application must generally be made within</w:t>
      </w:r>
      <w:r>
        <w:t xml:space="preserve"> </w:t>
      </w:r>
      <w:r>
        <w:rPr>
          <w:b/>
        </w:rPr>
        <w:t xml:space="preserve">12 months of the offence being committed</w:t>
      </w:r>
      <w:r>
        <w:t xml:space="preserve"> </w:t>
      </w:r>
      <w:r>
        <w:t xml:space="preserve">(Housing and Planning Act 2016, section 41). Keep this time limit in mind when deciding whether to send a pre-application letter or proceed straight to the Tribunal.</w:t>
      </w:r>
    </w:p>
    <w:p>
      <w:r>
        <w:pict>
          <v:rect style="width:0;height:1.5pt" o:hralign="center" o:hrstd="t" o:hr="t"/>
        </w:pict>
      </w:r>
    </w:p>
    <w:p>
      <w:pPr>
        <w:pStyle w:val="FirstParagraph"/>
      </w:pPr>
      <w:r>
        <w:t xml:space="preserve">[Your Name]</w:t>
      </w:r>
      <w:r>
        <w:t xml:space="preserve"> </w:t>
      </w:r>
      <w:r>
        <w:t xml:space="preserve">[Your Address Line 1]</w:t>
      </w:r>
      <w:r>
        <w:t xml:space="preserve"> </w:t>
      </w:r>
      <w:r>
        <w:t xml:space="preserve">[Your Address Line 2]</w:t>
      </w:r>
      <w:r>
        <w:t xml:space="preserve"> </w:t>
      </w:r>
      <w:r>
        <w:t xml:space="preserve">[Your City]</w:t>
      </w:r>
      <w:r>
        <w:t xml:space="preserve"> </w:t>
      </w:r>
      <w:r>
        <w:t xml:space="preserve">[Your Postcode]</w:t>
      </w:r>
    </w:p>
    <w:p>
      <w:pPr>
        <w:pStyle w:val="BodyText"/>
      </w:pPr>
      <w:r>
        <w:t xml:space="preserve">[Landlord Name]</w:t>
      </w:r>
      <w:r>
        <w:t xml:space="preserve"> </w:t>
      </w:r>
      <w:r>
        <w:t xml:space="preserve">[Landlord Address Line 1]</w:t>
      </w:r>
      <w:r>
        <w:t xml:space="preserve"> </w:t>
      </w:r>
      <w:r>
        <w:t xml:space="preserve">[Landlord Address Line 2]</w:t>
      </w:r>
      <w:r>
        <w:t xml:space="preserve"> </w:t>
      </w:r>
      <w:r>
        <w:t xml:space="preserve">[Landlord City]</w:t>
      </w:r>
      <w:r>
        <w:t xml:space="preserve"> </w:t>
      </w:r>
      <w:r>
        <w:t xml:space="preserve">[Landlord Postcode]</w:t>
      </w:r>
    </w:p>
    <w:p>
      <w:pPr>
        <w:pStyle w:val="BodyText"/>
      </w:pPr>
      <w:r>
        <w:t xml:space="preserve">[Copy to Superior Landlord, if any]</w:t>
      </w:r>
    </w:p>
    <w:p>
      <w:pPr>
        <w:pStyle w:val="BodyText"/>
      </w:pPr>
      <w:r>
        <w:t xml:space="preserve">[Today's Date]</w:t>
      </w:r>
    </w:p>
    <w:p>
      <w:pPr>
        <w:pStyle w:val="BodyText"/>
      </w:pPr>
      <w:r>
        <w:rPr>
          <w:b/>
        </w:rPr>
        <w:t xml:space="preserve">Sent by recorded delivery post and email</w:t>
      </w:r>
    </w:p>
    <w:p>
      <w:pPr>
        <w:pStyle w:val="BodyText"/>
      </w:pPr>
      <w:r>
        <w:rPr>
          <w:b/>
        </w:rPr>
        <w:t xml:space="preserve">PRE-APPLICATION LETTER: INTENDED APPLICATION FOR A RENT REPAYMENT ORDER</w:t>
      </w:r>
    </w:p>
    <w:p>
      <w:pPr>
        <w:pStyle w:val="BodyText"/>
      </w:pPr>
      <w:r>
        <w:t xml:space="preserve">Dear Sirs,</w:t>
      </w:r>
    </w:p>
    <w:p>
      <w:pPr>
        <w:pStyle w:val="BodyText"/>
      </w:pPr>
      <w:r>
        <w:rPr>
          <w:b/>
        </w:rPr>
        <w:t xml:space="preserve">Re: Tenancy at [Full Property Address]</w:t>
      </w:r>
      <w:r>
        <w:t xml:space="preserve"> </w:t>
      </w:r>
      <w:r>
        <w:rPr>
          <w:b/>
        </w:rPr>
        <w:t xml:space="preserve">Tenancy Start Date:</w:t>
      </w:r>
      <w:r>
        <w:t xml:space="preserve"> </w:t>
      </w:r>
      <w:r>
        <w:t xml:space="preserve">[Date]</w:t>
      </w:r>
      <w:r>
        <w:t xml:space="preserve"> </w:t>
      </w:r>
      <w:r>
        <w:rPr>
          <w:b/>
        </w:rPr>
        <w:t xml:space="preserve">Tenancy End Date (if applicable):</w:t>
      </w:r>
      <w:r>
        <w:t xml:space="preserve"> </w:t>
      </w:r>
      <w:r>
        <w:t xml:space="preserve">[Date]</w:t>
      </w:r>
    </w:p>
    <w:p>
      <w:pPr>
        <w:pStyle w:val="BodyText"/>
      </w:pPr>
      <w:r>
        <w:t xml:space="preserve">I am writing to put you on formal notice that I intend to apply to the First-tier Tribunal (Property Chamber) for a Rent Repayment Order against you under</w:t>
      </w:r>
      <w:r>
        <w:t xml:space="preserve"> </w:t>
      </w:r>
      <w:r>
        <w:rPr>
          <w:b/>
        </w:rPr>
        <w:t xml:space="preserve">Part 2, Chapter 4 of the Housing and Planning Act 2016</w:t>
      </w:r>
      <w:r>
        <w:t xml:space="preserve">, as amended and strengthened by the</w:t>
      </w:r>
      <w:r>
        <w:t xml:space="preserve"> </w:t>
      </w:r>
      <w:r>
        <w:rPr>
          <w:b/>
        </w:rPr>
        <w:t xml:space="preserve">Renters' Rights Act 2025</w:t>
      </w:r>
      <w:r>
        <w:t xml:space="preserve">. The grounds, calculation, and proposed settlement are set out below.</w:t>
      </w:r>
    </w:p>
    <w:p>
      <w:pPr>
        <w:pStyle w:val="BodyText"/>
      </w:pPr>
      <w:r>
        <w:rPr>
          <w:b/>
        </w:rPr>
        <w:t xml:space="preserve">The Tenancy</w:t>
      </w:r>
    </w:p>
    <w:p>
      <w:pPr>
        <w:numPr>
          <w:ilvl w:val="0"/>
          <w:numId w:val="1004"/>
        </w:numPr>
      </w:pPr>
      <w:r>
        <w:t xml:space="preserve">I held a tenancy of [Full Property Address] between [Start Date] and [End Date, or "the present date"].</w:t>
      </w:r>
    </w:p>
    <w:p>
      <w:pPr>
        <w:numPr>
          <w:ilvl w:val="0"/>
          <w:numId w:val="1004"/>
        </w:numPr>
      </w:pPr>
      <w:r>
        <w:t xml:space="preserve">The rent payable was</w:t>
      </w:r>
      <w:r>
        <w:t xml:space="preserve"> </w:t>
      </w:r>
      <w:r>
        <w:rPr>
          <w:b/>
        </w:rPr>
        <w:t xml:space="preserve">£[Monthly Rent]</w:t>
      </w:r>
      <w:r>
        <w:t xml:space="preserve"> </w:t>
      </w:r>
      <w:r>
        <w:t xml:space="preserve">per calendar month, paid by [bank transfer / standing order / cash / other]. A full schedule of rent paid is enclosed as Exhibit 1.</w:t>
      </w:r>
    </w:p>
    <w:p>
      <w:pPr>
        <w:numPr>
          <w:ilvl w:val="0"/>
          <w:numId w:val="1004"/>
        </w:numPr>
      </w:pPr>
      <w:r>
        <w:t xml:space="preserve">You are the landlord under that tenancy. [If a superior landlord is involved, insert: The superior landlord is [Name], and is copied into this letter.]</w:t>
      </w:r>
    </w:p>
    <w:p>
      <w:pPr>
        <w:pStyle w:val="FirstParagraph"/>
      </w:pPr>
      <w:r>
        <w:rPr>
          <w:b/>
        </w:rPr>
        <w:t xml:space="preserve">The Offence</w:t>
      </w:r>
    </w:p>
    <w:p>
      <w:pPr>
        <w:numPr>
          <w:ilvl w:val="0"/>
          <w:numId w:val="1005"/>
        </w:numPr>
      </w:pPr>
      <w:r>
        <w:t xml:space="preserve">During the tenancy, you committed the following offence:</w:t>
      </w:r>
    </w:p>
    <w:p>
      <w:pPr>
        <w:numPr>
          <w:ilvl w:val="0"/>
          <w:numId w:val="1000"/>
        </w:numPr>
      </w:pPr>
      <w:r>
        <w:t xml:space="preserve">[Select and complete the scenarios that apply.]</w:t>
      </w:r>
    </w:p>
    <w:p>
      <w:pPr>
        <w:numPr>
          <w:ilvl w:val="0"/>
          <w:numId w:val="1000"/>
        </w:numPr>
      </w:pPr>
      <w:r>
        <w:t xml:space="preserve">a.</w:t>
      </w:r>
      <w:r>
        <w:t xml:space="preserve"> </w:t>
      </w:r>
      <w:r>
        <w:rPr>
          <w:b/>
        </w:rPr>
        <w:t xml:space="preserve">HMO without a licence.</w:t>
      </w:r>
      <w:r>
        <w:t xml:space="preserve"> </w:t>
      </w:r>
      <w:r>
        <w:t xml:space="preserve">The property was a House in Multiple Occupation as defined by the</w:t>
      </w:r>
      <w:r>
        <w:t xml:space="preserve"> </w:t>
      </w:r>
      <w:r>
        <w:rPr>
          <w:b/>
        </w:rPr>
        <w:t xml:space="preserve">Housing Act 2004, sections 254 to 259</w:t>
      </w:r>
      <w:r>
        <w:t xml:space="preserve">. It required a licence under section 55 of that Act but was not licensed between [Dates]. This is an offence under</w:t>
      </w:r>
      <w:r>
        <w:t xml:space="preserve"> </w:t>
      </w:r>
      <w:r>
        <w:rPr>
          <w:b/>
        </w:rPr>
        <w:t xml:space="preserve">Housing Act 2004, section 72(1)</w:t>
      </w:r>
      <w:r>
        <w:t xml:space="preserve">.</w:t>
      </w:r>
    </w:p>
    <w:p>
      <w:pPr>
        <w:numPr>
          <w:ilvl w:val="0"/>
          <w:numId w:val="1000"/>
        </w:numPr>
      </w:pPr>
      <w:r>
        <w:t xml:space="preserve">b.</w:t>
      </w:r>
      <w:r>
        <w:t xml:space="preserve"> </w:t>
      </w:r>
      <w:r>
        <w:rPr>
          <w:b/>
        </w:rPr>
        <w:t xml:space="preserve">Property not licensed under a selective licensing scheme.</w:t>
      </w:r>
      <w:r>
        <w:t xml:space="preserve"> </w:t>
      </w:r>
      <w:r>
        <w:t xml:space="preserve">[Local Authority] operates a selective licensing scheme under</w:t>
      </w:r>
      <w:r>
        <w:t xml:space="preserve"> </w:t>
      </w:r>
      <w:r>
        <w:rPr>
          <w:b/>
        </w:rPr>
        <w:t xml:space="preserve">Housing Act 2004, Part 3</w:t>
      </w:r>
      <w:r>
        <w:t xml:space="preserve">, designated on [Date]. The property falls within that designation but was not licensed between [Dates]. This is an offence under</w:t>
      </w:r>
      <w:r>
        <w:t xml:space="preserve"> </w:t>
      </w:r>
      <w:r>
        <w:rPr>
          <w:b/>
        </w:rPr>
        <w:t xml:space="preserve">Housing Act 2004, section 95(1)</w:t>
      </w:r>
      <w:r>
        <w:t xml:space="preserve">.</w:t>
      </w:r>
    </w:p>
    <w:p>
      <w:pPr>
        <w:numPr>
          <w:ilvl w:val="0"/>
          <w:numId w:val="1000"/>
        </w:numPr>
      </w:pPr>
      <w:r>
        <w:t xml:space="preserve">c.</w:t>
      </w:r>
      <w:r>
        <w:t xml:space="preserve"> </w:t>
      </w:r>
      <w:r>
        <w:rPr>
          <w:b/>
        </w:rPr>
        <w:t xml:space="preserve">Illegal eviction / harassment.</w:t>
      </w:r>
      <w:r>
        <w:t xml:space="preserve"> </w:t>
      </w:r>
      <w:r>
        <w:t xml:space="preserve">On [Date], you [changed the locks / removed the tenant's possessions / cut off utilities / repeatedly entered the property without consent / threatened the tenant with violence], contrary to the</w:t>
      </w:r>
      <w:r>
        <w:t xml:space="preserve"> </w:t>
      </w:r>
      <w:r>
        <w:rPr>
          <w:b/>
        </w:rPr>
        <w:t xml:space="preserve">Protection from Eviction Act 1977, sections 1(2) and 1(3)</w:t>
      </w:r>
      <w:r>
        <w:t xml:space="preserve">.</w:t>
      </w:r>
    </w:p>
    <w:p>
      <w:pPr>
        <w:numPr>
          <w:ilvl w:val="0"/>
          <w:numId w:val="1000"/>
        </w:numPr>
      </w:pPr>
      <w:r>
        <w:t xml:space="preserve">d.</w:t>
      </w:r>
      <w:r>
        <w:t xml:space="preserve"> </w:t>
      </w:r>
      <w:r>
        <w:rPr>
          <w:b/>
        </w:rPr>
        <w:t xml:space="preserve">Breach of an improvement notice or prohibition order.</w:t>
      </w:r>
      <w:r>
        <w:t xml:space="preserve"> </w:t>
      </w:r>
      <w:r>
        <w:t xml:space="preserve">The local authority served an improvement notice dated [Date] / a prohibition order dated [Date] under the</w:t>
      </w:r>
      <w:r>
        <w:t xml:space="preserve"> </w:t>
      </w:r>
      <w:r>
        <w:rPr>
          <w:b/>
        </w:rPr>
        <w:t xml:space="preserve">Housing Act 2004, Part 1</w:t>
      </w:r>
      <w:r>
        <w:t xml:space="preserve">. You have failed to comply with that notice / order. This is an offence under</w:t>
      </w:r>
      <w:r>
        <w:t xml:space="preserve"> </w:t>
      </w:r>
      <w:r>
        <w:rPr>
          <w:b/>
        </w:rPr>
        <w:t xml:space="preserve">Housing Act 2004, section 30 / section 32</w:t>
      </w:r>
      <w:r>
        <w:t xml:space="preserve">.</w:t>
      </w:r>
    </w:p>
    <w:p>
      <w:pPr>
        <w:numPr>
          <w:ilvl w:val="0"/>
          <w:numId w:val="1000"/>
        </w:numPr>
      </w:pPr>
      <w:r>
        <w:t xml:space="preserve">e.</w:t>
      </w:r>
      <w:r>
        <w:t xml:space="preserve"> </w:t>
      </w:r>
      <w:r>
        <w:rPr>
          <w:b/>
        </w:rPr>
        <w:t xml:space="preserve">Breach of a banning order.</w:t>
      </w:r>
      <w:r>
        <w:t xml:space="preserve"> </w:t>
      </w:r>
      <w:r>
        <w:t xml:space="preserve">On [Date] a banning order was made against you under the</w:t>
      </w:r>
      <w:r>
        <w:t xml:space="preserve"> </w:t>
      </w:r>
      <w:r>
        <w:rPr>
          <w:b/>
        </w:rPr>
        <w:t xml:space="preserve">Housing and Planning Act 2016, section 21</w:t>
      </w:r>
      <w:r>
        <w:t xml:space="preserve">. You have continued to let property in breach of that order.</w:t>
      </w:r>
    </w:p>
    <w:p>
      <w:pPr>
        <w:numPr>
          <w:ilvl w:val="0"/>
          <w:numId w:val="1000"/>
        </w:numPr>
      </w:pPr>
      <w:r>
        <w:t xml:space="preserve">f.</w:t>
      </w:r>
      <w:r>
        <w:t xml:space="preserve"> </w:t>
      </w:r>
      <w:r>
        <w:rPr>
          <w:b/>
        </w:rPr>
        <w:t xml:space="preserve">[Renters' Rights Act 2025 offence].</w:t>
      </w:r>
      <w:r>
        <w:t xml:space="preserve"> </w:t>
      </w:r>
      <w:r>
        <w:t xml:space="preserve">[Describe the offence created by the 2025 Act, for example breach of the Decent Homes Standard or breach of the new registration requirements, with the relevant section reference.]</w:t>
      </w:r>
    </w:p>
    <w:p>
      <w:pPr>
        <w:numPr>
          <w:ilvl w:val="0"/>
          <w:numId w:val="1005"/>
        </w:numPr>
      </w:pPr>
      <w:r>
        <w:t xml:space="preserve">The following supporting evidence is enclosed:</w:t>
      </w:r>
    </w:p>
    <w:p>
      <w:pPr>
        <w:numPr>
          <w:ilvl w:val="1"/>
          <w:numId w:val="1006"/>
        </w:numPr>
        <w:pStyle w:val="Compact"/>
      </w:pPr>
      <w:r>
        <w:t xml:space="preserve">[Tenancy agreement: Exhibit 1]</w:t>
      </w:r>
    </w:p>
    <w:p>
      <w:pPr>
        <w:numPr>
          <w:ilvl w:val="1"/>
          <w:numId w:val="1006"/>
        </w:numPr>
        <w:pStyle w:val="Compact"/>
      </w:pPr>
      <w:r>
        <w:t xml:space="preserve">[Rent schedule and bank statements: Exhibit 2]</w:t>
      </w:r>
    </w:p>
    <w:p>
      <w:pPr>
        <w:numPr>
          <w:ilvl w:val="1"/>
          <w:numId w:val="1006"/>
        </w:numPr>
        <w:pStyle w:val="Compact"/>
      </w:pPr>
      <w:r>
        <w:t xml:space="preserve">[Local authority enforcement notice / improvement notice / prohibition order: Exhibit 3]</w:t>
      </w:r>
    </w:p>
    <w:p>
      <w:pPr>
        <w:numPr>
          <w:ilvl w:val="1"/>
          <w:numId w:val="1006"/>
        </w:numPr>
        <w:pStyle w:val="Compact"/>
      </w:pPr>
      <w:r>
        <w:t xml:space="preserve">[Conviction, caution, or civil penalty, if any: Exhibit 4]</w:t>
      </w:r>
    </w:p>
    <w:p>
      <w:pPr>
        <w:numPr>
          <w:ilvl w:val="1"/>
          <w:numId w:val="1006"/>
        </w:numPr>
        <w:pStyle w:val="Compact"/>
      </w:pPr>
      <w:r>
        <w:t xml:space="preserve">[Photographs, correspondence, police log, other: Exhibit 5 onwards]</w:t>
      </w:r>
    </w:p>
    <w:p>
      <w:pPr>
        <w:pStyle w:val="FirstParagraph"/>
      </w:pPr>
      <w:r>
        <w:rPr>
          <w:b/>
        </w:rPr>
        <w:t xml:space="preserve">The Calculation</w:t>
      </w:r>
    </w:p>
    <w:p>
      <w:pPr>
        <w:numPr>
          <w:ilvl w:val="0"/>
          <w:numId w:val="1007"/>
        </w:numPr>
      </w:pPr>
      <w:r>
        <w:t xml:space="preserve">The relevant period for the purposes of the intended Rent Repayment Order is from [Start of 12-month window] to [End of 12-month window]. The rent paid during that period was:</w:t>
      </w:r>
    </w:p>
    <w:tbl>
      <w:tblPr>
        <w:tblStyle w:val="Table"/>
        <w:tblW w:type="pct" w:w="0.0"/>
        <w:tblLook w:firstRow="1"/>
      </w:tblPr>
      <w:tblGrid/>
      <w:tr>
        <w:trPr>
          <w:cnfStyle w:firstRow="1"/>
        </w:trPr>
        <w:tc>
          <w:tcPr>
            <w:tcBorders>
              <w:bottom w:val="single"/>
            </w:tcBorders>
            <w:vAlign w:val="bottom"/>
          </w:tcPr>
          <w:p>
            <w:pPr>
              <w:numPr>
                <w:ilvl w:val="0"/>
                <w:numId w:val="1000"/>
              </w:numPr>
              <w:pStyle w:val="Compact"/>
              <w:jc w:val="left"/>
            </w:pPr>
            <w:r>
              <w:t xml:space="preserve">Month</w:t>
            </w:r>
          </w:p>
        </w:tc>
        <w:tc>
          <w:tcPr>
            <w:tcBorders>
              <w:bottom w:val="single"/>
            </w:tcBorders>
            <w:vAlign w:val="bottom"/>
          </w:tcPr>
          <w:p>
            <w:pPr>
              <w:numPr>
                <w:ilvl w:val="0"/>
                <w:numId w:val="1000"/>
              </w:numPr>
              <w:pStyle w:val="Compact"/>
              <w:jc w:val="left"/>
            </w:pPr>
            <w:r>
              <w:t xml:space="preserve">Rent Paid (£)</w:t>
            </w:r>
          </w:p>
        </w:tc>
      </w:tr>
      <w:tr>
        <w:tc>
          <w:p>
            <w:pPr>
              <w:numPr>
                <w:ilvl w:val="0"/>
                <w:numId w:val="1000"/>
              </w:numPr>
              <w:pStyle w:val="Compact"/>
              <w:jc w:val="left"/>
            </w:pPr>
            <w:r>
              <w:t xml:space="preserve">[Month 1]</w:t>
            </w:r>
          </w:p>
        </w:tc>
        <w:tc>
          <w:p>
            <w:pPr>
              <w:numPr>
                <w:ilvl w:val="0"/>
                <w:numId w:val="1000"/>
              </w:numPr>
              <w:pStyle w:val="Compact"/>
              <w:jc w:val="left"/>
            </w:pPr>
            <w:r>
              <w:t xml:space="preserve">[Amount]</w:t>
            </w:r>
          </w:p>
        </w:tc>
      </w:tr>
      <w:tr>
        <w:tc>
          <w:p>
            <w:pPr>
              <w:numPr>
                <w:ilvl w:val="0"/>
                <w:numId w:val="1000"/>
              </w:numPr>
              <w:pStyle w:val="Compact"/>
              <w:jc w:val="left"/>
            </w:pPr>
            <w:r>
              <w:t xml:space="preserve">[Month 2]</w:t>
            </w:r>
          </w:p>
        </w:tc>
        <w:tc>
          <w:p>
            <w:pPr>
              <w:numPr>
                <w:ilvl w:val="0"/>
                <w:numId w:val="1000"/>
              </w:numPr>
              <w:pStyle w:val="Compact"/>
              <w:jc w:val="left"/>
            </w:pPr>
            <w:r>
              <w:t xml:space="preserve">[Amount]</w:t>
            </w:r>
          </w:p>
        </w:tc>
      </w:tr>
      <w:tr>
        <w:tc>
          <w:p>
            <w:pPr>
              <w:numPr>
                <w:ilvl w:val="0"/>
                <w:numId w:val="1000"/>
              </w:numPr>
              <w:pStyle w:val="Compact"/>
              <w:jc w:val="left"/>
            </w:pPr>
            <w:r>
              <w:t xml:space="preserve">[...]</w:t>
            </w:r>
          </w:p>
        </w:tc>
        <w:tc>
          <w:p>
            <w:pPr>
              <w:numPr>
                <w:ilvl w:val="0"/>
                <w:numId w:val="1000"/>
              </w:numPr>
              <w:pStyle w:val="Compact"/>
              <w:jc w:val="left"/>
            </w:pPr>
            <w:r>
              <w:t xml:space="preserve">[...]</w:t>
            </w:r>
          </w:p>
        </w:tc>
      </w:tr>
      <w:tr>
        <w:tc>
          <w:p>
            <w:pPr>
              <w:numPr>
                <w:ilvl w:val="0"/>
                <w:numId w:val="1000"/>
              </w:numPr>
              <w:pStyle w:val="Compact"/>
              <w:jc w:val="left"/>
            </w:pPr>
            <w:r>
              <w:rPr>
                <w:b/>
              </w:rPr>
              <w:t xml:space="preserve">Total</w:t>
            </w:r>
          </w:p>
        </w:tc>
        <w:tc>
          <w:p>
            <w:pPr>
              <w:numPr>
                <w:ilvl w:val="0"/>
                <w:numId w:val="1000"/>
              </w:numPr>
              <w:pStyle w:val="Compact"/>
              <w:jc w:val="left"/>
            </w:pPr>
            <w:r>
              <w:rPr>
                <w:b/>
              </w:rPr>
              <w:t xml:space="preserve">£[Total]</w:t>
            </w:r>
          </w:p>
        </w:tc>
      </w:tr>
    </w:tbl>
    <w:p>
      <w:pPr>
        <w:numPr>
          <w:ilvl w:val="0"/>
          <w:numId w:val="1007"/>
        </w:numPr>
      </w:pPr>
      <w:r>
        <w:t xml:space="preserve">I therefore intend to seek a Rent Repayment Order in the sum of</w:t>
      </w:r>
      <w:r>
        <w:t xml:space="preserve"> </w:t>
      </w:r>
      <w:r>
        <w:rPr>
          <w:b/>
        </w:rPr>
        <w:t xml:space="preserve">£[Total]</w:t>
      </w:r>
      <w:r>
        <w:t xml:space="preserve">, plus the application fee payable to the Tribunal (currently £100), plus any reasonable costs the Tribunal may award.</w:t>
      </w:r>
    </w:p>
    <w:p>
      <w:pPr>
        <w:pStyle w:val="FirstParagraph"/>
      </w:pPr>
      <w:r>
        <w:rPr>
          <w:b/>
        </w:rPr>
        <w:t xml:space="preserve">The Legal Position</w:t>
      </w:r>
    </w:p>
    <w:p>
      <w:pPr>
        <w:numPr>
          <w:ilvl w:val="0"/>
          <w:numId w:val="1008"/>
        </w:numPr>
      </w:pPr>
      <w:r>
        <w:t xml:space="preserve">Under</w:t>
      </w:r>
      <w:r>
        <w:t xml:space="preserve"> </w:t>
      </w:r>
      <w:r>
        <w:rPr>
          <w:b/>
        </w:rPr>
        <w:t xml:space="preserve">Housing and Planning Act 2016, section 40</w:t>
      </w:r>
      <w:r>
        <w:t xml:space="preserve">, the Tribunal may make a Rent Repayment Order where it is satisfied, beyond reasonable doubt, that a landlord has committed one of the specified offences. Under</w:t>
      </w:r>
      <w:r>
        <w:t xml:space="preserve"> </w:t>
      </w:r>
      <w:r>
        <w:rPr>
          <w:b/>
        </w:rPr>
        <w:t xml:space="preserve">section 44</w:t>
      </w:r>
      <w:r>
        <w:t xml:space="preserve">, the maximum amount is the rent paid during a period not exceeding 12 months.</w:t>
      </w:r>
    </w:p>
    <w:p>
      <w:pPr>
        <w:numPr>
          <w:ilvl w:val="0"/>
          <w:numId w:val="1008"/>
        </w:numPr>
      </w:pPr>
      <w:r>
        <w:t xml:space="preserve">Under</w:t>
      </w:r>
      <w:r>
        <w:t xml:space="preserve"> </w:t>
      </w:r>
      <w:r>
        <w:rPr>
          <w:b/>
        </w:rPr>
        <w:t xml:space="preserve">Housing and Planning Act 2016, section 46(3)</w:t>
      </w:r>
      <w:r>
        <w:t xml:space="preserve">, the Tribunal must, in setting the amount, take account of the conduct of the landlord and the tenant, the financial circumstances of the landlord, and whether the landlord has at any time been convicted of a relevant offence.</w:t>
      </w:r>
    </w:p>
    <w:p>
      <w:pPr>
        <w:numPr>
          <w:ilvl w:val="0"/>
          <w:numId w:val="1008"/>
        </w:numPr>
      </w:pPr>
      <w:r>
        <w:t xml:space="preserve">The Renters' Rights Act 2025 has widened the scope of Rent Repayment Orders (to cover additional offences created by that Act), extended the maximum period in certain serious cases to 24 months, and clarified joint-and-several liability between immediate and superior landlords.</w:t>
      </w:r>
    </w:p>
    <w:p>
      <w:pPr>
        <w:pStyle w:val="FirstParagraph"/>
      </w:pPr>
      <w:r>
        <w:rPr>
          <w:b/>
        </w:rPr>
        <w:t xml:space="preserve">Proposed Settlement</w:t>
      </w:r>
    </w:p>
    <w:p>
      <w:pPr>
        <w:numPr>
          <w:ilvl w:val="0"/>
          <w:numId w:val="1009"/>
        </w:numPr>
      </w:pPr>
      <w:r>
        <w:t xml:space="preserve">To avoid the cost, delay, and reputational exposure of a Tribunal application, I am willing to settle this matter on the following terms, subject to contract:</w:t>
      </w:r>
    </w:p>
    <w:p>
      <w:pPr>
        <w:numPr>
          <w:ilvl w:val="0"/>
          <w:numId w:val="1000"/>
        </w:numPr>
      </w:pPr>
      <w:r>
        <w:t xml:space="preserve">a. Payment by you to me of</w:t>
      </w:r>
      <w:r>
        <w:t xml:space="preserve"> </w:t>
      </w:r>
      <w:r>
        <w:rPr>
          <w:b/>
        </w:rPr>
        <w:t xml:space="preserve">£[Settlement Figure]</w:t>
      </w:r>
      <w:r>
        <w:t xml:space="preserve"> </w:t>
      </w:r>
      <w:r>
        <w:t xml:space="preserve">in full and final settlement of my RRO claim, within 15 working days of the date of this letter.</w:t>
      </w:r>
    </w:p>
    <w:p>
      <w:pPr>
        <w:numPr>
          <w:ilvl w:val="0"/>
          <w:numId w:val="1000"/>
        </w:numPr>
      </w:pPr>
      <w:r>
        <w:t xml:space="preserve">b. A written undertaking that the offence will not be repeated, and [if applicable] that steps will be taken to remedy the underlying breach by [Date].</w:t>
      </w:r>
    </w:p>
    <w:p>
      <w:pPr>
        <w:numPr>
          <w:ilvl w:val="0"/>
          <w:numId w:val="1009"/>
        </w:numPr>
      </w:pPr>
      <w:r>
        <w:t xml:space="preserve">If the matter is settled on these terms, I will not proceed with the intended Tribunal application. If settlement cannot be agreed, I reserve the right to apply for the full amount of rent paid during the relevant period, plus costs.</w:t>
      </w:r>
    </w:p>
    <w:p>
      <w:pPr>
        <w:pStyle w:val="FirstParagraph"/>
      </w:pPr>
      <w:r>
        <w:rPr>
          <w:b/>
        </w:rPr>
        <w:t xml:space="preserve">Deadline</w:t>
      </w:r>
    </w:p>
    <w:p>
      <w:pPr>
        <w:numPr>
          <w:ilvl w:val="0"/>
          <w:numId w:val="1010"/>
        </w:numPr>
        <w:pStyle w:val="Compact"/>
      </w:pPr>
      <w:r>
        <w:t xml:space="preserve">Please respond substantively within</w:t>
      </w:r>
      <w:r>
        <w:t xml:space="preserve"> </w:t>
      </w:r>
      <w:r>
        <w:rPr>
          <w:b/>
        </w:rPr>
        <w:t xml:space="preserve">15 working days</w:t>
      </w:r>
      <w:r>
        <w:t xml:space="preserve"> </w:t>
      </w:r>
      <w:r>
        <w:t xml:space="preserve">of the date of this letter, by [Date + 15 Working Days]. If no substantive response is received by that date, or if settlement is refused, I will apply to the First-tier Tribunal (Property Chamber) on</w:t>
      </w:r>
      <w:r>
        <w:t xml:space="preserve"> </w:t>
      </w:r>
      <w:r>
        <w:rPr>
          <w:b/>
        </w:rPr>
        <w:t xml:space="preserve">Form RRO1</w:t>
      </w:r>
      <w:r>
        <w:t xml:space="preserve"> </w:t>
      </w:r>
      <w:r>
        <w:t xml:space="preserve">without further notice.</w:t>
      </w:r>
    </w:p>
    <w:p>
      <w:pPr>
        <w:pStyle w:val="FirstParagraph"/>
      </w:pPr>
      <w:r>
        <w:rPr>
          <w:b/>
        </w:rPr>
        <w:t xml:space="preserve">Parallel Referral to the Local Housing Authority</w:t>
      </w:r>
    </w:p>
    <w:p>
      <w:pPr>
        <w:numPr>
          <w:ilvl w:val="0"/>
          <w:numId w:val="1011"/>
        </w:numPr>
        <w:pStyle w:val="Compact"/>
      </w:pPr>
      <w:r>
        <w:t xml:space="preserve">I have [also referred / reserve the right to refer] this matter to [Local Housing Authority], the relevant licensing and enforcement authority, for consideration of a civil penalty under the</w:t>
      </w:r>
      <w:r>
        <w:t xml:space="preserve"> </w:t>
      </w:r>
      <w:r>
        <w:rPr>
          <w:b/>
        </w:rPr>
        <w:t xml:space="preserve">Housing and Planning Act 2016, section 23</w:t>
      </w:r>
      <w:r>
        <w:t xml:space="preserve">. The existence of a civil penalty materially strengthens any subsequent RRO application.</w:t>
      </w:r>
    </w:p>
    <w:p>
      <w:pPr>
        <w:pStyle w:val="FirstParagraph"/>
      </w:pPr>
      <w:r>
        <w:rPr>
          <w:b/>
        </w:rPr>
        <w:t xml:space="preserve">Without Prejudice Save as to Costs</w:t>
      </w:r>
    </w:p>
    <w:p>
      <w:pPr>
        <w:pStyle w:val="BodyText"/>
      </w:pPr>
      <w:r>
        <w:t xml:space="preserve">This letter is written without prejudice save as to costs. I reserve the right to draw it to the attention of the Tribunal on the question of costs if this matter proceeds to a hearing.</w:t>
      </w:r>
    </w:p>
    <w:p>
      <w:pPr>
        <w:pStyle w:val="BodyText"/>
      </w:pPr>
      <w:r>
        <w:t xml:space="preserve">Please acknowledge receipt of this letter by return.</w:t>
      </w:r>
    </w:p>
    <w:p>
      <w:pPr>
        <w:pStyle w:val="BodyText"/>
      </w:pPr>
      <w:r>
        <w:t xml:space="preserve">Yours faithfully,</w:t>
      </w:r>
    </w:p>
    <w:p>
      <w:pPr>
        <w:pStyle w:val="BodyText"/>
      </w:pPr>
      <w:r>
        <w:t xml:space="preserve">[Your Full Name]</w:t>
      </w:r>
    </w:p>
    <w:p>
      <w:r>
        <w:pict>
          <v:rect style="width:0;height:1.5pt" o:hralign="center" o:hrstd="t" o:hr="t"/>
        </w:pict>
      </w:r>
    </w:p>
    <w:p>
      <w:pPr>
        <w:pStyle w:val="FirstParagraph"/>
      </w:pPr>
      <w:r>
        <w:rPr>
          <w:b/>
        </w:rPr>
        <w:t xml:space="preserve">Escalation route if the above fails:</w:t>
      </w:r>
    </w:p>
    <w:p>
      <w:pPr>
        <w:numPr>
          <w:ilvl w:val="0"/>
          <w:numId w:val="1012"/>
        </w:numPr>
        <w:pStyle w:val="Compact"/>
      </w:pPr>
      <w:r>
        <w:rPr>
          <w:b/>
        </w:rPr>
        <w:t xml:space="preserve">First-tier Tribunal (Property Chamber)</w:t>
      </w:r>
      <w:r>
        <w:t xml:space="preserve">: Form RRO1 application for a Rent Repayment Order.</w:t>
      </w:r>
    </w:p>
    <w:p>
      <w:pPr>
        <w:numPr>
          <w:ilvl w:val="0"/>
          <w:numId w:val="1012"/>
        </w:numPr>
        <w:pStyle w:val="Compact"/>
      </w:pPr>
      <w:r>
        <w:rPr>
          <w:b/>
        </w:rPr>
        <w:t xml:space="preserve">Local Housing Authority</w:t>
      </w:r>
      <w:r>
        <w:t xml:space="preserve">: parallel referral for a civil penalty under Housing and Planning Act 2016, s.23.</w:t>
      </w:r>
    </w:p>
    <w:p>
      <w:pPr>
        <w:numPr>
          <w:ilvl w:val="0"/>
          <w:numId w:val="1012"/>
        </w:numPr>
        <w:pStyle w:val="Compact"/>
      </w:pPr>
      <w:r>
        <w:rPr>
          <w:b/>
        </w:rPr>
        <w:t xml:space="preserve">Small Claims Court</w:t>
      </w:r>
      <w:r>
        <w:t xml:space="preserve">: for any consequential losses not covered by the RRO (for example, the cost of alternative accommodation during an illegal eviction).</w:t>
      </w:r>
    </w:p>
    <w:p>
      <w:pPr>
        <w:pStyle w:val="FirstParagraph"/>
      </w:pPr>
      <w:r>
        <w:rPr>
          <w:b/>
        </w:rPr>
        <w:t xml:space="preserve">Related template:</w:t>
      </w:r>
    </w:p>
    <w:p>
      <w:pPr>
        <w:numPr>
          <w:ilvl w:val="0"/>
          <w:numId w:val="1013"/>
        </w:numPr>
        <w:pStyle w:val="Compact"/>
      </w:pPr>
      <w:r>
        <w:t xml:space="preserve">Court-track template</w:t>
      </w:r>
      <w:r>
        <w:t xml:space="preserve"> </w:t>
      </w:r>
      <w:r>
        <w:rPr>
          <w:b/>
        </w:rPr>
        <w:t xml:space="preserve">24: Rent Repayment Order (RRO1) Application</w:t>
      </w:r>
      <w:r>
        <w:t xml:space="preserve"> </w:t>
      </w:r>
      <w:r>
        <w:t xml:space="preserve">in</w:t>
      </w:r>
      <w:r>
        <w:t xml:space="preserve"> </w:t>
      </w:r>
      <w:r>
        <w:rPr>
          <w:rStyle w:val="VerbatimChar"/>
        </w:rPr>
        <w:t xml:space="preserve">docs/legal-templates/</w:t>
      </w:r>
      <w:r>
        <w:t xml:space="preserve"> </w:t>
      </w:r>
      <w:r>
        <w:t xml:space="preserve">covers the Tribunal application itself, including the form, statement, evidence index, and schedule of rent.</w:t>
      </w:r>
    </w:p>
    <w:p>
      <w:r>
        <w:pict>
          <v:rect style="width:0;height:1.5pt" o:hralign="center" o:hrstd="t" o:hr="t"/>
        </w:pict>
      </w:r>
    </w:p>
    <w:p>
      <w:pPr>
        <w:pStyle w:val="FirstParagraph"/>
      </w:pPr>
      <w:r>
        <w:rPr>
          <w:i/>
        </w:rPr>
        <w:t xml:space="preserve">Want a letter tailored to YOUR case with AI?</w:t>
      </w:r>
      <w:r>
        <w:rPr>
          <w:i/>
        </w:rPr>
        <w:t xml:space="preserve"> </w:t>
      </w:r>
      <w:hyperlink r:id="rId22">
        <w:r>
          <w:rPr>
            <w:rStyle w:val="Hyperlink"/>
            <w:i/>
          </w:rPr>
          <w:t xml:space="preserve">Start a free case</w:t>
        </w:r>
      </w:hyperlink>
      <w:r>
        <w:rPr>
          <w:i/>
        </w:rPr>
        <w:t xml:space="preserve"> </w:t>
      </w:r>
      <w:r>
        <w:rPr>
          <w:i/>
        </w:rPr>
        <w:t xml:space="preserve">at EvenStance.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99211">
    <w:nsid w:val="71315dca"/>
    <w:multiLevelType w:val="multilevel"/>
    <w:lvl w:ilvl="0">
      <w:start w:val="1"/>
      <w:numFmt w:val="decimal"/>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Roman"/>
      <w:lvlText w:val="%9."/>
      <w:lvlJc w:val="left"/>
      <w:pPr>
        <w:tabs>
          <w:tab w:val="num" w:pos="5760"/>
        </w:tabs>
        <w:ind w:left="6240" w:hanging="480"/>
      </w:pPr>
    </w:lvl>
  </w:abstractNum>
  <w:abstractNum w:abstractNumId="99214">
    <w:nsid w:val="47261bad"/>
    <w:multiLevelType w:val="multilevel"/>
    <w:lvl w:ilvl="0">
      <w:start w:val="4"/>
      <w:numFmt w:val="decimal"/>
      <w:lvlText w:val="%1."/>
      <w:lvlJc w:val="left"/>
      <w:pPr>
        <w:tabs>
          <w:tab w:val="num" w:pos="0"/>
        </w:tabs>
        <w:ind w:left="480" w:hanging="480"/>
      </w:pPr>
    </w:lvl>
    <w:lvl w:ilvl="1">
      <w:start w:val="4"/>
      <w:numFmt w:val="lowerLetter"/>
      <w:lvlText w:val="%2."/>
      <w:lvlJc w:val="left"/>
      <w:pPr>
        <w:tabs>
          <w:tab w:val="num" w:pos="720"/>
        </w:tabs>
        <w:ind w:left="1200" w:hanging="480"/>
      </w:pPr>
    </w:lvl>
    <w:lvl w:ilvl="2">
      <w:start w:val="4"/>
      <w:numFmt w:val="lowerRoman"/>
      <w:lvlText w:val="%3."/>
      <w:lvlJc w:val="left"/>
      <w:pPr>
        <w:tabs>
          <w:tab w:val="num" w:pos="1440"/>
        </w:tabs>
        <w:ind w:left="1920" w:hanging="480"/>
      </w:pPr>
    </w:lvl>
    <w:lvl w:ilvl="3">
      <w:start w:val="4"/>
      <w:numFmt w:val="decimal"/>
      <w:lvlText w:val="%4."/>
      <w:lvlJc w:val="left"/>
      <w:pPr>
        <w:tabs>
          <w:tab w:val="num" w:pos="2160"/>
        </w:tabs>
        <w:ind w:left="2640" w:hanging="480"/>
      </w:pPr>
    </w:lvl>
    <w:lvl w:ilvl="4">
      <w:start w:val="4"/>
      <w:numFmt w:val="lowerLetter"/>
      <w:lvlText w:val="%5."/>
      <w:lvlJc w:val="left"/>
      <w:pPr>
        <w:tabs>
          <w:tab w:val="num" w:pos="2880"/>
        </w:tabs>
        <w:ind w:left="3360" w:hanging="480"/>
      </w:pPr>
    </w:lvl>
    <w:lvl w:ilvl="5">
      <w:start w:val="4"/>
      <w:numFmt w:val="lowerRoman"/>
      <w:lvlText w:val="%6."/>
      <w:lvlJc w:val="left"/>
      <w:pPr>
        <w:tabs>
          <w:tab w:val="num" w:pos="3600"/>
        </w:tabs>
        <w:ind w:left="4080" w:hanging="480"/>
      </w:pPr>
    </w:lvl>
    <w:lvl w:ilvl="6">
      <w:start w:val="4"/>
      <w:numFmt w:val="decimal"/>
      <w:lvlText w:val="%7."/>
      <w:lvlJc w:val="left"/>
      <w:pPr>
        <w:tabs>
          <w:tab w:val="num" w:pos="4320"/>
        </w:tabs>
        <w:ind w:left="4800" w:hanging="480"/>
      </w:pPr>
    </w:lvl>
    <w:lvl w:ilvl="7">
      <w:start w:val="4"/>
      <w:numFmt w:val="lowerLetter"/>
      <w:lvlText w:val="%8."/>
      <w:lvlJc w:val="left"/>
      <w:pPr>
        <w:tabs>
          <w:tab w:val="num" w:pos="5040"/>
        </w:tabs>
        <w:ind w:left="5520" w:hanging="480"/>
      </w:pPr>
    </w:lvl>
    <w:lvl w:ilvl="8">
      <w:start w:val="4"/>
      <w:numFmt w:val="lowerRoman"/>
      <w:lvlText w:val="%9."/>
      <w:lvlJc w:val="left"/>
      <w:pPr>
        <w:tabs>
          <w:tab w:val="num" w:pos="5760"/>
        </w:tabs>
        <w:ind w:left="6240" w:hanging="480"/>
      </w:pPr>
    </w:lvl>
  </w:abstractNum>
  <w:abstractNum w:abstractNumId="99216">
    <w:nsid w:val="b3cbbdee"/>
    <w:multiLevelType w:val="multilevel"/>
    <w:lvl w:ilvl="0">
      <w:start w:val="6"/>
      <w:numFmt w:val="decimal"/>
      <w:lvlText w:val="%1."/>
      <w:lvlJc w:val="left"/>
      <w:pPr>
        <w:tabs>
          <w:tab w:val="num" w:pos="0"/>
        </w:tabs>
        <w:ind w:left="480" w:hanging="480"/>
      </w:pPr>
    </w:lvl>
    <w:lvl w:ilvl="1">
      <w:start w:val="6"/>
      <w:numFmt w:val="lowerLetter"/>
      <w:lvlText w:val="%2."/>
      <w:lvlJc w:val="left"/>
      <w:pPr>
        <w:tabs>
          <w:tab w:val="num" w:pos="720"/>
        </w:tabs>
        <w:ind w:left="1200" w:hanging="480"/>
      </w:pPr>
    </w:lvl>
    <w:lvl w:ilvl="2">
      <w:start w:val="6"/>
      <w:numFmt w:val="lowerRoman"/>
      <w:lvlText w:val="%3."/>
      <w:lvlJc w:val="left"/>
      <w:pPr>
        <w:tabs>
          <w:tab w:val="num" w:pos="1440"/>
        </w:tabs>
        <w:ind w:left="1920" w:hanging="480"/>
      </w:pPr>
    </w:lvl>
    <w:lvl w:ilvl="3">
      <w:start w:val="6"/>
      <w:numFmt w:val="decimal"/>
      <w:lvlText w:val="%4."/>
      <w:lvlJc w:val="left"/>
      <w:pPr>
        <w:tabs>
          <w:tab w:val="num" w:pos="2160"/>
        </w:tabs>
        <w:ind w:left="2640" w:hanging="480"/>
      </w:pPr>
    </w:lvl>
    <w:lvl w:ilvl="4">
      <w:start w:val="6"/>
      <w:numFmt w:val="lowerLetter"/>
      <w:lvlText w:val="%5."/>
      <w:lvlJc w:val="left"/>
      <w:pPr>
        <w:tabs>
          <w:tab w:val="num" w:pos="2880"/>
        </w:tabs>
        <w:ind w:left="3360" w:hanging="480"/>
      </w:pPr>
    </w:lvl>
    <w:lvl w:ilvl="5">
      <w:start w:val="6"/>
      <w:numFmt w:val="lowerRoman"/>
      <w:lvlText w:val="%6."/>
      <w:lvlJc w:val="left"/>
      <w:pPr>
        <w:tabs>
          <w:tab w:val="num" w:pos="3600"/>
        </w:tabs>
        <w:ind w:left="4080" w:hanging="480"/>
      </w:pPr>
    </w:lvl>
    <w:lvl w:ilvl="6">
      <w:start w:val="6"/>
      <w:numFmt w:val="decimal"/>
      <w:lvlText w:val="%7."/>
      <w:lvlJc w:val="left"/>
      <w:pPr>
        <w:tabs>
          <w:tab w:val="num" w:pos="4320"/>
        </w:tabs>
        <w:ind w:left="4800" w:hanging="480"/>
      </w:pPr>
    </w:lvl>
    <w:lvl w:ilvl="7">
      <w:start w:val="6"/>
      <w:numFmt w:val="lowerLetter"/>
      <w:lvlText w:val="%8."/>
      <w:lvlJc w:val="left"/>
      <w:pPr>
        <w:tabs>
          <w:tab w:val="num" w:pos="5040"/>
        </w:tabs>
        <w:ind w:left="5520" w:hanging="480"/>
      </w:pPr>
    </w:lvl>
    <w:lvl w:ilvl="8">
      <w:start w:val="6"/>
      <w:numFmt w:val="lowerRoman"/>
      <w:lvlText w:val="%9."/>
      <w:lvlJc w:val="left"/>
      <w:pPr>
        <w:tabs>
          <w:tab w:val="num" w:pos="5760"/>
        </w:tabs>
        <w:ind w:left="6240" w:hanging="480"/>
      </w:pPr>
    </w:lvl>
  </w:abstractNum>
  <w:abstractNum w:abstractNumId="99218">
    <w:nsid w:val="4fbe019a"/>
    <w:multiLevelType w:val="multilevel"/>
    <w:lvl w:ilvl="0">
      <w:start w:val="8"/>
      <w:numFmt w:val="decimal"/>
      <w:lvlText w:val="%1."/>
      <w:lvlJc w:val="left"/>
      <w:pPr>
        <w:tabs>
          <w:tab w:val="num" w:pos="0"/>
        </w:tabs>
        <w:ind w:left="480" w:hanging="480"/>
      </w:pPr>
    </w:lvl>
    <w:lvl w:ilvl="1">
      <w:start w:val="8"/>
      <w:numFmt w:val="lowerLetter"/>
      <w:lvlText w:val="%2."/>
      <w:lvlJc w:val="left"/>
      <w:pPr>
        <w:tabs>
          <w:tab w:val="num" w:pos="720"/>
        </w:tabs>
        <w:ind w:left="1200" w:hanging="480"/>
      </w:pPr>
    </w:lvl>
    <w:lvl w:ilvl="2">
      <w:start w:val="8"/>
      <w:numFmt w:val="lowerRoman"/>
      <w:lvlText w:val="%3."/>
      <w:lvlJc w:val="left"/>
      <w:pPr>
        <w:tabs>
          <w:tab w:val="num" w:pos="1440"/>
        </w:tabs>
        <w:ind w:left="1920" w:hanging="480"/>
      </w:pPr>
    </w:lvl>
    <w:lvl w:ilvl="3">
      <w:start w:val="8"/>
      <w:numFmt w:val="decimal"/>
      <w:lvlText w:val="%4."/>
      <w:lvlJc w:val="left"/>
      <w:pPr>
        <w:tabs>
          <w:tab w:val="num" w:pos="2160"/>
        </w:tabs>
        <w:ind w:left="2640" w:hanging="480"/>
      </w:pPr>
    </w:lvl>
    <w:lvl w:ilvl="4">
      <w:start w:val="8"/>
      <w:numFmt w:val="lowerLetter"/>
      <w:lvlText w:val="%5."/>
      <w:lvlJc w:val="left"/>
      <w:pPr>
        <w:tabs>
          <w:tab w:val="num" w:pos="2880"/>
        </w:tabs>
        <w:ind w:left="3360" w:hanging="480"/>
      </w:pPr>
    </w:lvl>
    <w:lvl w:ilvl="5">
      <w:start w:val="8"/>
      <w:numFmt w:val="lowerRoman"/>
      <w:lvlText w:val="%6."/>
      <w:lvlJc w:val="left"/>
      <w:pPr>
        <w:tabs>
          <w:tab w:val="num" w:pos="3600"/>
        </w:tabs>
        <w:ind w:left="4080" w:hanging="480"/>
      </w:pPr>
    </w:lvl>
    <w:lvl w:ilvl="6">
      <w:start w:val="8"/>
      <w:numFmt w:val="decimal"/>
      <w:lvlText w:val="%7."/>
      <w:lvlJc w:val="left"/>
      <w:pPr>
        <w:tabs>
          <w:tab w:val="num" w:pos="4320"/>
        </w:tabs>
        <w:ind w:left="4800" w:hanging="480"/>
      </w:pPr>
    </w:lvl>
    <w:lvl w:ilvl="7">
      <w:start w:val="8"/>
      <w:numFmt w:val="lowerLetter"/>
      <w:lvlText w:val="%8."/>
      <w:lvlJc w:val="left"/>
      <w:pPr>
        <w:tabs>
          <w:tab w:val="num" w:pos="5040"/>
        </w:tabs>
        <w:ind w:left="5520" w:hanging="480"/>
      </w:pPr>
    </w:lvl>
    <w:lvl w:ilvl="8">
      <w:start w:val="8"/>
      <w:numFmt w:val="lowerRoman"/>
      <w:lvlText w:val="%9."/>
      <w:lvlJc w:val="left"/>
      <w:pPr>
        <w:tabs>
          <w:tab w:val="num" w:pos="5760"/>
        </w:tabs>
        <w:ind w:left="6240" w:hanging="480"/>
      </w:pPr>
    </w:lvl>
  </w:abstractNum>
  <w:abstractNum w:abstractNumId="992111">
    <w:nsid w:val="91a27d85"/>
    <w:multiLevelType w:val="multilevel"/>
    <w:lvl w:ilvl="0">
      <w:start w:val="11"/>
      <w:numFmt w:val="decimal"/>
      <w:lvlText w:val="%1."/>
      <w:lvlJc w:val="left"/>
      <w:pPr>
        <w:tabs>
          <w:tab w:val="num" w:pos="0"/>
        </w:tabs>
        <w:ind w:left="480" w:hanging="480"/>
      </w:pPr>
    </w:lvl>
    <w:lvl w:ilvl="1">
      <w:start w:val="11"/>
      <w:numFmt w:val="lowerLetter"/>
      <w:lvlText w:val="%2."/>
      <w:lvlJc w:val="left"/>
      <w:pPr>
        <w:tabs>
          <w:tab w:val="num" w:pos="720"/>
        </w:tabs>
        <w:ind w:left="1200" w:hanging="480"/>
      </w:pPr>
    </w:lvl>
    <w:lvl w:ilvl="2">
      <w:start w:val="11"/>
      <w:numFmt w:val="lowerRoman"/>
      <w:lvlText w:val="%3."/>
      <w:lvlJc w:val="left"/>
      <w:pPr>
        <w:tabs>
          <w:tab w:val="num" w:pos="1440"/>
        </w:tabs>
        <w:ind w:left="1920" w:hanging="480"/>
      </w:pPr>
    </w:lvl>
    <w:lvl w:ilvl="3">
      <w:start w:val="11"/>
      <w:numFmt w:val="decimal"/>
      <w:lvlText w:val="%4."/>
      <w:lvlJc w:val="left"/>
      <w:pPr>
        <w:tabs>
          <w:tab w:val="num" w:pos="2160"/>
        </w:tabs>
        <w:ind w:left="2640" w:hanging="480"/>
      </w:pPr>
    </w:lvl>
    <w:lvl w:ilvl="4">
      <w:start w:val="11"/>
      <w:numFmt w:val="lowerLetter"/>
      <w:lvlText w:val="%5."/>
      <w:lvlJc w:val="left"/>
      <w:pPr>
        <w:tabs>
          <w:tab w:val="num" w:pos="2880"/>
        </w:tabs>
        <w:ind w:left="3360" w:hanging="480"/>
      </w:pPr>
    </w:lvl>
    <w:lvl w:ilvl="5">
      <w:start w:val="11"/>
      <w:numFmt w:val="lowerRoman"/>
      <w:lvlText w:val="%6."/>
      <w:lvlJc w:val="left"/>
      <w:pPr>
        <w:tabs>
          <w:tab w:val="num" w:pos="3600"/>
        </w:tabs>
        <w:ind w:left="4080" w:hanging="480"/>
      </w:pPr>
    </w:lvl>
    <w:lvl w:ilvl="6">
      <w:start w:val="11"/>
      <w:numFmt w:val="decimal"/>
      <w:lvlText w:val="%7."/>
      <w:lvlJc w:val="left"/>
      <w:pPr>
        <w:tabs>
          <w:tab w:val="num" w:pos="4320"/>
        </w:tabs>
        <w:ind w:left="4800" w:hanging="480"/>
      </w:pPr>
    </w:lvl>
    <w:lvl w:ilvl="7">
      <w:start w:val="11"/>
      <w:numFmt w:val="lowerLetter"/>
      <w:lvlText w:val="%8."/>
      <w:lvlJc w:val="left"/>
      <w:pPr>
        <w:tabs>
          <w:tab w:val="num" w:pos="5040"/>
        </w:tabs>
        <w:ind w:left="5520" w:hanging="480"/>
      </w:pPr>
    </w:lvl>
    <w:lvl w:ilvl="8">
      <w:start w:val="11"/>
      <w:numFmt w:val="lowerRoman"/>
      <w:lvlText w:val="%9."/>
      <w:lvlJc w:val="left"/>
      <w:pPr>
        <w:tabs>
          <w:tab w:val="num" w:pos="5760"/>
        </w:tabs>
        <w:ind w:left="6240" w:hanging="480"/>
      </w:pPr>
    </w:lvl>
  </w:abstractNum>
  <w:abstractNum w:abstractNumId="992113">
    <w:nsid w:val="615f1ed2"/>
    <w:multiLevelType w:val="multilevel"/>
    <w:lvl w:ilvl="0">
      <w:start w:val="13"/>
      <w:numFmt w:val="decimal"/>
      <w:lvlText w:val="%1."/>
      <w:lvlJc w:val="left"/>
      <w:pPr>
        <w:tabs>
          <w:tab w:val="num" w:pos="0"/>
        </w:tabs>
        <w:ind w:left="480" w:hanging="480"/>
      </w:pPr>
    </w:lvl>
    <w:lvl w:ilvl="1">
      <w:start w:val="13"/>
      <w:numFmt w:val="lowerLetter"/>
      <w:lvlText w:val="%2."/>
      <w:lvlJc w:val="left"/>
      <w:pPr>
        <w:tabs>
          <w:tab w:val="num" w:pos="720"/>
        </w:tabs>
        <w:ind w:left="1200" w:hanging="480"/>
      </w:pPr>
    </w:lvl>
    <w:lvl w:ilvl="2">
      <w:start w:val="13"/>
      <w:numFmt w:val="lowerRoman"/>
      <w:lvlText w:val="%3."/>
      <w:lvlJc w:val="left"/>
      <w:pPr>
        <w:tabs>
          <w:tab w:val="num" w:pos="1440"/>
        </w:tabs>
        <w:ind w:left="1920" w:hanging="480"/>
      </w:pPr>
    </w:lvl>
    <w:lvl w:ilvl="3">
      <w:start w:val="13"/>
      <w:numFmt w:val="decimal"/>
      <w:lvlText w:val="%4."/>
      <w:lvlJc w:val="left"/>
      <w:pPr>
        <w:tabs>
          <w:tab w:val="num" w:pos="2160"/>
        </w:tabs>
        <w:ind w:left="2640" w:hanging="480"/>
      </w:pPr>
    </w:lvl>
    <w:lvl w:ilvl="4">
      <w:start w:val="13"/>
      <w:numFmt w:val="lowerLetter"/>
      <w:lvlText w:val="%5."/>
      <w:lvlJc w:val="left"/>
      <w:pPr>
        <w:tabs>
          <w:tab w:val="num" w:pos="2880"/>
        </w:tabs>
        <w:ind w:left="3360" w:hanging="480"/>
      </w:pPr>
    </w:lvl>
    <w:lvl w:ilvl="5">
      <w:start w:val="13"/>
      <w:numFmt w:val="lowerRoman"/>
      <w:lvlText w:val="%6."/>
      <w:lvlJc w:val="left"/>
      <w:pPr>
        <w:tabs>
          <w:tab w:val="num" w:pos="3600"/>
        </w:tabs>
        <w:ind w:left="4080" w:hanging="480"/>
      </w:pPr>
    </w:lvl>
    <w:lvl w:ilvl="6">
      <w:start w:val="13"/>
      <w:numFmt w:val="decimal"/>
      <w:lvlText w:val="%7."/>
      <w:lvlJc w:val="left"/>
      <w:pPr>
        <w:tabs>
          <w:tab w:val="num" w:pos="4320"/>
        </w:tabs>
        <w:ind w:left="4800" w:hanging="480"/>
      </w:pPr>
    </w:lvl>
    <w:lvl w:ilvl="7">
      <w:start w:val="13"/>
      <w:numFmt w:val="lowerLetter"/>
      <w:lvlText w:val="%8."/>
      <w:lvlJc w:val="left"/>
      <w:pPr>
        <w:tabs>
          <w:tab w:val="num" w:pos="5040"/>
        </w:tabs>
        <w:ind w:left="5520" w:hanging="480"/>
      </w:pPr>
    </w:lvl>
    <w:lvl w:ilvl="8">
      <w:start w:val="13"/>
      <w:numFmt w:val="lowerRoman"/>
      <w:lvlText w:val="%9."/>
      <w:lvlJc w:val="left"/>
      <w:pPr>
        <w:tabs>
          <w:tab w:val="num" w:pos="5760"/>
        </w:tabs>
        <w:ind w:left="6240" w:hanging="480"/>
      </w:pPr>
    </w:lvl>
  </w:abstractNum>
  <w:abstractNum w:abstractNumId="992114">
    <w:nsid w:val="238d8174"/>
    <w:multiLevelType w:val="multilevel"/>
    <w:lvl w:ilvl="0">
      <w:start w:val="14"/>
      <w:numFmt w:val="decimal"/>
      <w:lvlText w:val="%1."/>
      <w:lvlJc w:val="left"/>
      <w:pPr>
        <w:tabs>
          <w:tab w:val="num" w:pos="0"/>
        </w:tabs>
        <w:ind w:left="480" w:hanging="480"/>
      </w:pPr>
    </w:lvl>
    <w:lvl w:ilvl="1">
      <w:start w:val="14"/>
      <w:numFmt w:val="lowerLetter"/>
      <w:lvlText w:val="%2."/>
      <w:lvlJc w:val="left"/>
      <w:pPr>
        <w:tabs>
          <w:tab w:val="num" w:pos="720"/>
        </w:tabs>
        <w:ind w:left="1200" w:hanging="480"/>
      </w:pPr>
    </w:lvl>
    <w:lvl w:ilvl="2">
      <w:start w:val="14"/>
      <w:numFmt w:val="lowerRoman"/>
      <w:lvlText w:val="%3."/>
      <w:lvlJc w:val="left"/>
      <w:pPr>
        <w:tabs>
          <w:tab w:val="num" w:pos="1440"/>
        </w:tabs>
        <w:ind w:left="1920" w:hanging="480"/>
      </w:pPr>
    </w:lvl>
    <w:lvl w:ilvl="3">
      <w:start w:val="14"/>
      <w:numFmt w:val="decimal"/>
      <w:lvlText w:val="%4."/>
      <w:lvlJc w:val="left"/>
      <w:pPr>
        <w:tabs>
          <w:tab w:val="num" w:pos="2160"/>
        </w:tabs>
        <w:ind w:left="2640" w:hanging="480"/>
      </w:pPr>
    </w:lvl>
    <w:lvl w:ilvl="4">
      <w:start w:val="14"/>
      <w:numFmt w:val="lowerLetter"/>
      <w:lvlText w:val="%5."/>
      <w:lvlJc w:val="left"/>
      <w:pPr>
        <w:tabs>
          <w:tab w:val="num" w:pos="2880"/>
        </w:tabs>
        <w:ind w:left="3360" w:hanging="480"/>
      </w:pPr>
    </w:lvl>
    <w:lvl w:ilvl="5">
      <w:start w:val="14"/>
      <w:numFmt w:val="lowerRoman"/>
      <w:lvlText w:val="%6."/>
      <w:lvlJc w:val="left"/>
      <w:pPr>
        <w:tabs>
          <w:tab w:val="num" w:pos="3600"/>
        </w:tabs>
        <w:ind w:left="4080" w:hanging="480"/>
      </w:pPr>
    </w:lvl>
    <w:lvl w:ilvl="6">
      <w:start w:val="14"/>
      <w:numFmt w:val="decimal"/>
      <w:lvlText w:val="%7."/>
      <w:lvlJc w:val="left"/>
      <w:pPr>
        <w:tabs>
          <w:tab w:val="num" w:pos="4320"/>
        </w:tabs>
        <w:ind w:left="4800" w:hanging="480"/>
      </w:pPr>
    </w:lvl>
    <w:lvl w:ilvl="7">
      <w:start w:val="14"/>
      <w:numFmt w:val="lowerLetter"/>
      <w:lvlText w:val="%8."/>
      <w:lvlJc w:val="left"/>
      <w:pPr>
        <w:tabs>
          <w:tab w:val="num" w:pos="5040"/>
        </w:tabs>
        <w:ind w:left="5520" w:hanging="480"/>
      </w:pPr>
    </w:lvl>
    <w:lvl w:ilvl="8">
      <w:start w:val="14"/>
      <w:numFmt w:val="lowerRoman"/>
      <w:lvlText w:val="%9."/>
      <w:lvlJc w:val="left"/>
      <w:pPr>
        <w:tabs>
          <w:tab w:val="num" w:pos="5760"/>
        </w:tabs>
        <w:ind w:left="6240" w:hanging="480"/>
      </w:pPr>
    </w:lvl>
  </w:abstractNum>
  <w:num w:numId="1000">
    <w:abstractNumId w:val="990"/>
  </w:num>
  <w:num w:numId="1001">
    <w:abstractNumId w:val="991"/>
  </w:num>
  <w:num w:numId="1002">
    <w:abstractNumId w:val="991"/>
  </w:num>
  <w:num w:numId="1003">
    <w:abstractNumId w:val="991"/>
  </w:num>
  <w:num w:numId="1004">
    <w:abstractNumId w:val="99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6">
    <w:abstractNumId w:val="991"/>
  </w:num>
  <w:num w:numId="1007">
    <w:abstractNumId w:val="9921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08">
    <w:abstractNumId w:val="99218"/>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1009">
    <w:abstractNumId w:val="992111"/>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lvlOverride w:ilvl="7">
      <w:startOverride w:val="11"/>
    </w:lvlOverride>
    <w:lvlOverride w:ilvl="8">
      <w:startOverride w:val="11"/>
    </w:lvlOverride>
  </w:num>
  <w:num w:numId="1010">
    <w:abstractNumId w:val="992113"/>
    <w:lvlOverride w:ilvl="0">
      <w:startOverride w:val="13"/>
    </w:lvlOverride>
    <w:lvlOverride w:ilvl="1">
      <w:startOverride w:val="13"/>
    </w:lvlOverride>
    <w:lvlOverride w:ilvl="2">
      <w:startOverride w:val="13"/>
    </w:lvlOverride>
    <w:lvlOverride w:ilvl="3">
      <w:startOverride w:val="13"/>
    </w:lvlOverride>
    <w:lvlOverride w:ilvl="4">
      <w:startOverride w:val="13"/>
    </w:lvlOverride>
    <w:lvlOverride w:ilvl="5">
      <w:startOverride w:val="13"/>
    </w:lvlOverride>
    <w:lvlOverride w:ilvl="6">
      <w:startOverride w:val="13"/>
    </w:lvlOverride>
    <w:lvlOverride w:ilvl="7">
      <w:startOverride w:val="13"/>
    </w:lvlOverride>
    <w:lvlOverride w:ilvl="8">
      <w:startOverride w:val="13"/>
    </w:lvlOverride>
  </w:num>
  <w:num w:numId="1011">
    <w:abstractNumId w:val="992114"/>
    <w:lvlOverride w:ilvl="0">
      <w:startOverride w:val="14"/>
    </w:lvlOverride>
    <w:lvlOverride w:ilvl="1">
      <w:startOverride w:val="14"/>
    </w:lvlOverride>
    <w:lvlOverride w:ilvl="2">
      <w:startOverride w:val="14"/>
    </w:lvlOverride>
    <w:lvlOverride w:ilvl="3">
      <w:startOverride w:val="14"/>
    </w:lvlOverride>
    <w:lvlOverride w:ilvl="4">
      <w:startOverride w:val="14"/>
    </w:lvlOverride>
    <w:lvlOverride w:ilvl="5">
      <w:startOverride w:val="14"/>
    </w:lvlOverride>
    <w:lvlOverride w:ilvl="6">
      <w:startOverride w:val="14"/>
    </w:lvlOverride>
    <w:lvlOverride w:ilvl="7">
      <w:startOverride w:val="14"/>
    </w:lvlOverride>
    <w:lvlOverride w:ilvl="8">
      <w:startOverride w:val="14"/>
    </w:lvlOverride>
  </w:num>
  <w:num w:numId="1012">
    <w:abstractNumId w:val="99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evenstance.com/register" TargetMode="External" /></Relationships>
</file>

<file path=word/_rels/footnotes.xml.rels><?xml version="1.0" encoding="UTF-8"?>
<Relationships xmlns="http://schemas.openxmlformats.org/package/2006/relationships"><Relationship Type="http://schemas.openxmlformats.org/officeDocument/2006/relationships/hyperlink" Id="rId22" Target="https://evenstance.com/registe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2026-04-24T10:11:07Z</dcterms:created>
  <dcterms:modified xsi:type="dcterms:W3CDTF">2026-04-24T10:11:07Z</dcterms:modified>
</cp:coreProperties>
</file>

<file path=docProps/custom.xml><?xml version="1.0" encoding="utf-8"?>
<Properties xmlns="http://schemas.openxmlformats.org/officeDocument/2006/custom-properties" xmlns:vt="http://schemas.openxmlformats.org/officeDocument/2006/docPropsVTypes"/>
</file>